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3FD7" w14:textId="52781029" w:rsidR="00980BC7" w:rsidRPr="0004337F" w:rsidRDefault="00980BC7" w:rsidP="00980BC7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4337F">
        <w:rPr>
          <w:rFonts w:ascii="Arial" w:hAnsi="Arial" w:cs="Arial"/>
          <w:b/>
          <w:bCs/>
          <w:sz w:val="24"/>
          <w:szCs w:val="24"/>
        </w:rPr>
        <w:t xml:space="preserve">Příloha č. 3 </w:t>
      </w:r>
      <w:r w:rsidR="00851828" w:rsidRPr="0004337F">
        <w:rPr>
          <w:rFonts w:ascii="Arial" w:hAnsi="Arial" w:cs="Arial"/>
          <w:b/>
          <w:bCs/>
          <w:sz w:val="24"/>
          <w:szCs w:val="24"/>
        </w:rPr>
        <w:t>–</w:t>
      </w:r>
      <w:r w:rsidRPr="0004337F">
        <w:rPr>
          <w:rFonts w:ascii="Arial" w:hAnsi="Arial" w:cs="Arial"/>
          <w:b/>
          <w:bCs/>
          <w:sz w:val="24"/>
          <w:szCs w:val="24"/>
        </w:rPr>
        <w:t xml:space="preserve"> </w:t>
      </w:r>
      <w:r w:rsidR="0004337F" w:rsidRPr="0004337F">
        <w:rPr>
          <w:rFonts w:ascii="Arial" w:hAnsi="Arial" w:cs="Arial"/>
          <w:b/>
          <w:bCs/>
          <w:sz w:val="24"/>
          <w:szCs w:val="24"/>
        </w:rPr>
        <w:t>Časový h</w:t>
      </w:r>
      <w:r w:rsidRPr="0004337F">
        <w:rPr>
          <w:rFonts w:ascii="Arial" w:hAnsi="Arial" w:cs="Arial"/>
          <w:b/>
          <w:bCs/>
          <w:sz w:val="24"/>
          <w:szCs w:val="24"/>
        </w:rPr>
        <w:t>armonogram</w:t>
      </w:r>
    </w:p>
    <w:p w14:paraId="7BE9A021" w14:textId="4B33520B" w:rsidR="00851828" w:rsidRDefault="00851828" w:rsidP="00980BC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404"/>
      </w:tblGrid>
      <w:tr w:rsidR="00980BC7" w:rsidRPr="0004337F" w14:paraId="1FA5CA4D" w14:textId="77777777" w:rsidTr="009F6E46">
        <w:tc>
          <w:tcPr>
            <w:tcW w:w="4673" w:type="dxa"/>
            <w:shd w:val="clear" w:color="auto" w:fill="D9D9D9" w:themeFill="background1" w:themeFillShade="D9"/>
          </w:tcPr>
          <w:p w14:paraId="0F81684D" w14:textId="29DBB4D0" w:rsidR="00980BC7" w:rsidRPr="0004337F" w:rsidRDefault="00980BC7" w:rsidP="00A46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337F">
              <w:rPr>
                <w:rFonts w:ascii="Arial" w:hAnsi="Arial" w:cs="Arial"/>
                <w:b/>
                <w:bCs/>
              </w:rPr>
              <w:t>Fáze či její část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28B1AA6" w14:textId="758A26A7" w:rsidR="00980BC7" w:rsidRPr="0004337F" w:rsidRDefault="00980BC7" w:rsidP="00A46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337F">
              <w:rPr>
                <w:rFonts w:ascii="Arial" w:hAnsi="Arial" w:cs="Arial"/>
                <w:b/>
                <w:bCs/>
              </w:rPr>
              <w:t>Zahájení Fáze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5D8A59D9" w14:textId="46C423AA" w:rsidR="00980BC7" w:rsidRPr="0004337F" w:rsidRDefault="00980BC7" w:rsidP="00A46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337F">
              <w:rPr>
                <w:rFonts w:ascii="Arial" w:hAnsi="Arial" w:cs="Arial"/>
                <w:b/>
                <w:bCs/>
              </w:rPr>
              <w:t>Ukončení (splnění) Fáze</w:t>
            </w:r>
          </w:p>
        </w:tc>
      </w:tr>
      <w:tr w:rsidR="00980BC7" w:rsidRPr="0004337F" w14:paraId="5F24438E" w14:textId="77777777" w:rsidTr="009F6E46">
        <w:tc>
          <w:tcPr>
            <w:tcW w:w="4673" w:type="dxa"/>
          </w:tcPr>
          <w:p w14:paraId="364EB81A" w14:textId="472A58F5" w:rsidR="00980BC7" w:rsidRPr="0004337F" w:rsidRDefault="00980BC7" w:rsidP="00980BC7">
            <w:pPr>
              <w:rPr>
                <w:rFonts w:ascii="Arial" w:hAnsi="Arial" w:cs="Arial"/>
              </w:rPr>
            </w:pPr>
            <w:r w:rsidRPr="0004337F">
              <w:rPr>
                <w:rFonts w:ascii="Arial" w:hAnsi="Arial" w:cs="Arial"/>
                <w:b/>
                <w:bCs/>
              </w:rPr>
              <w:t>Fáze 1</w:t>
            </w:r>
            <w:r w:rsidRPr="0004337F">
              <w:rPr>
                <w:rFonts w:ascii="Arial" w:hAnsi="Arial" w:cs="Arial"/>
              </w:rPr>
              <w:t xml:space="preserve"> (analytická</w:t>
            </w:r>
            <w:r w:rsidR="0004337F">
              <w:rPr>
                <w:rFonts w:ascii="Arial" w:hAnsi="Arial" w:cs="Arial"/>
              </w:rPr>
              <w:t xml:space="preserve"> fáze</w:t>
            </w:r>
            <w:r w:rsidRPr="0004337F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</w:tcPr>
          <w:p w14:paraId="04F985E8" w14:textId="61D0AC50" w:rsidR="00980BC7" w:rsidRPr="0004337F" w:rsidRDefault="009F6E46" w:rsidP="00980BC7">
            <w:pPr>
              <w:rPr>
                <w:rFonts w:ascii="Arial" w:hAnsi="Arial" w:cs="Arial"/>
              </w:rPr>
            </w:pPr>
            <w:r w:rsidRPr="0004337F">
              <w:rPr>
                <w:rFonts w:ascii="Arial" w:hAnsi="Arial" w:cs="Arial"/>
              </w:rPr>
              <w:t xml:space="preserve">Dnem nabytí účinnosti </w:t>
            </w:r>
            <w:r w:rsidR="00980BC7" w:rsidRPr="0004337F">
              <w:rPr>
                <w:rFonts w:ascii="Arial" w:hAnsi="Arial" w:cs="Arial"/>
              </w:rPr>
              <w:t>smlouvy</w:t>
            </w:r>
            <w:r w:rsidRPr="0004337F">
              <w:rPr>
                <w:rFonts w:ascii="Arial" w:hAnsi="Arial" w:cs="Arial"/>
              </w:rPr>
              <w:t xml:space="preserve"> (zveřejnění v registru smluv)</w:t>
            </w:r>
            <w:r w:rsidR="007C2F9B">
              <w:rPr>
                <w:rFonts w:ascii="Arial" w:hAnsi="Arial" w:cs="Arial"/>
              </w:rPr>
              <w:t>.</w:t>
            </w:r>
          </w:p>
        </w:tc>
        <w:tc>
          <w:tcPr>
            <w:tcW w:w="2404" w:type="dxa"/>
          </w:tcPr>
          <w:p w14:paraId="7392BB31" w14:textId="1D6F5F31" w:rsidR="00980BC7" w:rsidRPr="0004337F" w:rsidRDefault="009F6E46" w:rsidP="00980BC7">
            <w:pPr>
              <w:rPr>
                <w:rFonts w:ascii="Arial" w:hAnsi="Arial" w:cs="Arial"/>
              </w:rPr>
            </w:pPr>
            <w:r w:rsidRPr="0004337F">
              <w:rPr>
                <w:rFonts w:ascii="Arial" w:hAnsi="Arial" w:cs="Arial"/>
              </w:rPr>
              <w:t xml:space="preserve">Do </w:t>
            </w:r>
            <w:r w:rsidR="00980BC7" w:rsidRPr="0004337F">
              <w:rPr>
                <w:rFonts w:ascii="Arial" w:hAnsi="Arial" w:cs="Arial"/>
              </w:rPr>
              <w:t>15 dnů</w:t>
            </w:r>
            <w:r w:rsidRPr="0004337F">
              <w:rPr>
                <w:rFonts w:ascii="Arial" w:hAnsi="Arial" w:cs="Arial"/>
              </w:rPr>
              <w:t xml:space="preserve"> od nabytí účinnosti smlouvy</w:t>
            </w:r>
            <w:r w:rsidR="007C2F9B">
              <w:rPr>
                <w:rFonts w:ascii="Arial" w:hAnsi="Arial" w:cs="Arial"/>
              </w:rPr>
              <w:t>.</w:t>
            </w:r>
          </w:p>
        </w:tc>
      </w:tr>
      <w:tr w:rsidR="00980BC7" w:rsidRPr="0004337F" w14:paraId="30894AD2" w14:textId="77777777" w:rsidTr="0004337F">
        <w:trPr>
          <w:trHeight w:val="5902"/>
        </w:trPr>
        <w:tc>
          <w:tcPr>
            <w:tcW w:w="4673" w:type="dxa"/>
          </w:tcPr>
          <w:p w14:paraId="0D408910" w14:textId="125CA46D" w:rsidR="00980BC7" w:rsidRPr="0004337F" w:rsidRDefault="00980BC7" w:rsidP="00980BC7">
            <w:pPr>
              <w:rPr>
                <w:rFonts w:ascii="Arial" w:hAnsi="Arial" w:cs="Arial"/>
              </w:rPr>
            </w:pPr>
            <w:r w:rsidRPr="0004337F">
              <w:rPr>
                <w:rFonts w:ascii="Arial" w:hAnsi="Arial" w:cs="Arial"/>
                <w:b/>
                <w:bCs/>
              </w:rPr>
              <w:t>Fáze 2</w:t>
            </w:r>
            <w:r w:rsidRPr="0004337F">
              <w:rPr>
                <w:rFonts w:ascii="Arial" w:hAnsi="Arial" w:cs="Arial"/>
              </w:rPr>
              <w:t xml:space="preserve"> (implementační fáze)</w:t>
            </w:r>
            <w:r w:rsidR="00851828" w:rsidRPr="0004337F">
              <w:rPr>
                <w:rFonts w:ascii="Arial" w:hAnsi="Arial" w:cs="Arial"/>
              </w:rPr>
              <w:t xml:space="preserve"> </w:t>
            </w:r>
            <w:r w:rsidR="00A1589A" w:rsidRPr="0004337F">
              <w:rPr>
                <w:rFonts w:ascii="Arial" w:hAnsi="Arial" w:cs="Arial"/>
                <w:b/>
                <w:bCs/>
              </w:rPr>
              <w:t xml:space="preserve">etapa </w:t>
            </w:r>
            <w:r w:rsidR="00851828" w:rsidRPr="0004337F">
              <w:rPr>
                <w:rFonts w:ascii="Arial" w:hAnsi="Arial" w:cs="Arial"/>
                <w:b/>
                <w:bCs/>
              </w:rPr>
              <w:t>A</w:t>
            </w:r>
            <w:r w:rsidR="00851828" w:rsidRPr="0004337F">
              <w:rPr>
                <w:rFonts w:ascii="Arial" w:hAnsi="Arial" w:cs="Arial"/>
              </w:rPr>
              <w:t xml:space="preserve"> - </w:t>
            </w:r>
            <w:r w:rsidR="00A46CC0" w:rsidRPr="0004337F">
              <w:rPr>
                <w:rFonts w:ascii="Arial" w:hAnsi="Arial" w:cs="Arial"/>
              </w:rPr>
              <w:t xml:space="preserve"> agendy </w:t>
            </w:r>
            <w:r w:rsidR="00851828" w:rsidRPr="0004337F">
              <w:rPr>
                <w:rFonts w:ascii="Arial" w:hAnsi="Arial" w:cs="Arial"/>
              </w:rPr>
              <w:t xml:space="preserve">administrace systému, interní (lokální) registry, spisová služba, úřední deska, ekonomický systém (rozpočet, účetnictví, elektronický oběh dokumentů, kniha přijatých faktur a platebních poukazů, kniha vydaných faktur, smlouvy, objednávky, vymáhání pohledávek, příjmy, výdaje, evidence místních poplatků, banka, pokladna, majetek, sklady), matrika, vidimace a legalizace, volby, portál občana, integrační vazby (správní agendy (software VITA), radarové měření (software Scarabeus), RŽP (registr živnostenského podnikání), GIS (geografický informační systém T-Mapy), ISRS (informační </w:t>
            </w:r>
            <w:r w:rsidR="0004337F">
              <w:rPr>
                <w:rFonts w:ascii="Arial" w:hAnsi="Arial" w:cs="Arial"/>
              </w:rPr>
              <w:t xml:space="preserve">systém </w:t>
            </w:r>
            <w:r w:rsidR="00851828" w:rsidRPr="0004337F">
              <w:rPr>
                <w:rFonts w:ascii="Arial" w:hAnsi="Arial" w:cs="Arial"/>
              </w:rPr>
              <w:t>registr</w:t>
            </w:r>
            <w:r w:rsidR="0004337F">
              <w:rPr>
                <w:rFonts w:ascii="Arial" w:hAnsi="Arial" w:cs="Arial"/>
              </w:rPr>
              <w:t>u</w:t>
            </w:r>
            <w:r w:rsidR="00851828" w:rsidRPr="0004337F">
              <w:rPr>
                <w:rFonts w:ascii="Arial" w:hAnsi="Arial" w:cs="Arial"/>
              </w:rPr>
              <w:t xml:space="preserve"> smluv), ARES (administrativní registr ekonomických subjektů), ISZR (informační systém základních registrů), AISEO (</w:t>
            </w:r>
            <w:r w:rsidR="0004337F">
              <w:rPr>
                <w:rFonts w:ascii="Arial" w:hAnsi="Arial" w:cs="Arial"/>
              </w:rPr>
              <w:t>agendový informační systém evidence obyvatel</w:t>
            </w:r>
            <w:r w:rsidR="00851828" w:rsidRPr="0004337F">
              <w:rPr>
                <w:rFonts w:ascii="Arial" w:hAnsi="Arial" w:cs="Arial"/>
              </w:rPr>
              <w:t>), AISC (</w:t>
            </w:r>
            <w:r w:rsidR="0004337F">
              <w:rPr>
                <w:rFonts w:ascii="Arial" w:hAnsi="Arial" w:cs="Arial"/>
              </w:rPr>
              <w:t>agendový informační systém cizinců</w:t>
            </w:r>
            <w:r w:rsidR="00851828" w:rsidRPr="0004337F">
              <w:rPr>
                <w:rFonts w:ascii="Arial" w:hAnsi="Arial" w:cs="Arial"/>
              </w:rPr>
              <w:t xml:space="preserve"> ), IR (insolvenční rejstřík), CSÚIS (centrální systém účetních informací státu).</w:t>
            </w:r>
          </w:p>
        </w:tc>
        <w:tc>
          <w:tcPr>
            <w:tcW w:w="1985" w:type="dxa"/>
          </w:tcPr>
          <w:p w14:paraId="4B469B63" w14:textId="70198BFA" w:rsidR="009F6E46" w:rsidRPr="0004337F" w:rsidRDefault="009F6E46" w:rsidP="00980BC7">
            <w:pPr>
              <w:rPr>
                <w:rFonts w:ascii="Arial" w:hAnsi="Arial" w:cs="Arial"/>
              </w:rPr>
            </w:pPr>
            <w:r w:rsidRPr="0004337F">
              <w:rPr>
                <w:rFonts w:ascii="Arial" w:hAnsi="Arial" w:cs="Arial"/>
              </w:rPr>
              <w:t>Dnem dokončení fáze 1 a její akceptaci objednatelem.</w:t>
            </w:r>
          </w:p>
          <w:p w14:paraId="7FD6E28E" w14:textId="7C0C4BDA" w:rsidR="00980BC7" w:rsidRPr="0004337F" w:rsidRDefault="00980BC7" w:rsidP="00980BC7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71BE672E" w14:textId="7D2DD1A5" w:rsidR="00980BC7" w:rsidRPr="0004337F" w:rsidRDefault="009F6E46" w:rsidP="00980BC7">
            <w:pPr>
              <w:rPr>
                <w:rFonts w:ascii="Arial" w:hAnsi="Arial" w:cs="Arial"/>
              </w:rPr>
            </w:pPr>
            <w:r w:rsidRPr="0004337F">
              <w:rPr>
                <w:rFonts w:ascii="Arial" w:hAnsi="Arial" w:cs="Arial"/>
              </w:rPr>
              <w:t xml:space="preserve">Do </w:t>
            </w:r>
            <w:r w:rsidR="00851828" w:rsidRPr="0004337F">
              <w:rPr>
                <w:rFonts w:ascii="Arial" w:hAnsi="Arial" w:cs="Arial"/>
              </w:rPr>
              <w:t xml:space="preserve">70 dnů </w:t>
            </w:r>
            <w:r w:rsidRPr="0004337F">
              <w:rPr>
                <w:rFonts w:ascii="Arial" w:hAnsi="Arial" w:cs="Arial"/>
              </w:rPr>
              <w:t xml:space="preserve">od ukončení fáze 1, </w:t>
            </w:r>
            <w:r w:rsidR="00851828" w:rsidRPr="0004337F">
              <w:rPr>
                <w:rFonts w:ascii="Arial" w:hAnsi="Arial" w:cs="Arial"/>
              </w:rPr>
              <w:t xml:space="preserve">nejpozději však </w:t>
            </w:r>
            <w:r w:rsidRPr="0004337F">
              <w:rPr>
                <w:rFonts w:ascii="Arial" w:hAnsi="Arial" w:cs="Arial"/>
              </w:rPr>
              <w:t xml:space="preserve">do </w:t>
            </w:r>
            <w:r w:rsidR="00851828" w:rsidRPr="0004337F">
              <w:rPr>
                <w:rFonts w:ascii="Arial" w:hAnsi="Arial" w:cs="Arial"/>
              </w:rPr>
              <w:t>2</w:t>
            </w:r>
            <w:r w:rsidR="004C0068" w:rsidRPr="0004337F">
              <w:rPr>
                <w:rFonts w:ascii="Arial" w:hAnsi="Arial" w:cs="Arial"/>
              </w:rPr>
              <w:t>0</w:t>
            </w:r>
            <w:r w:rsidR="00851828" w:rsidRPr="0004337F">
              <w:rPr>
                <w:rFonts w:ascii="Arial" w:hAnsi="Arial" w:cs="Arial"/>
              </w:rPr>
              <w:t>.12.2021</w:t>
            </w:r>
            <w:r w:rsidR="007C2F9B">
              <w:rPr>
                <w:rFonts w:ascii="Arial" w:hAnsi="Arial" w:cs="Arial"/>
              </w:rPr>
              <w:t>.</w:t>
            </w:r>
          </w:p>
        </w:tc>
      </w:tr>
      <w:tr w:rsidR="00851828" w:rsidRPr="0004337F" w14:paraId="03F2D8B9" w14:textId="77777777" w:rsidTr="009F6E46">
        <w:tc>
          <w:tcPr>
            <w:tcW w:w="4673" w:type="dxa"/>
          </w:tcPr>
          <w:p w14:paraId="2930FFEE" w14:textId="55D4167F" w:rsidR="00851828" w:rsidRPr="0004337F" w:rsidRDefault="00851828" w:rsidP="00980BC7">
            <w:pPr>
              <w:rPr>
                <w:rFonts w:ascii="Arial" w:hAnsi="Arial" w:cs="Arial"/>
              </w:rPr>
            </w:pPr>
            <w:r w:rsidRPr="0004337F">
              <w:rPr>
                <w:rFonts w:ascii="Arial" w:hAnsi="Arial" w:cs="Arial"/>
                <w:b/>
                <w:bCs/>
              </w:rPr>
              <w:t>Fáze 2</w:t>
            </w:r>
            <w:r w:rsidRPr="0004337F">
              <w:rPr>
                <w:rFonts w:ascii="Arial" w:hAnsi="Arial" w:cs="Arial"/>
              </w:rPr>
              <w:t xml:space="preserve"> (implementační fáze) </w:t>
            </w:r>
            <w:r w:rsidR="00A1589A" w:rsidRPr="0004337F">
              <w:rPr>
                <w:rFonts w:ascii="Arial" w:hAnsi="Arial" w:cs="Arial"/>
                <w:b/>
                <w:bCs/>
              </w:rPr>
              <w:t xml:space="preserve">etapa </w:t>
            </w:r>
            <w:r w:rsidRPr="0004337F">
              <w:rPr>
                <w:rFonts w:ascii="Arial" w:hAnsi="Arial" w:cs="Arial"/>
                <w:b/>
                <w:bCs/>
              </w:rPr>
              <w:t>B</w:t>
            </w:r>
            <w:r w:rsidRPr="0004337F">
              <w:rPr>
                <w:rFonts w:ascii="Arial" w:hAnsi="Arial" w:cs="Arial"/>
              </w:rPr>
              <w:t xml:space="preserve"> – agendy Portál Občana, Nájemné bytů a nebytových prostor</w:t>
            </w:r>
          </w:p>
        </w:tc>
        <w:tc>
          <w:tcPr>
            <w:tcW w:w="1985" w:type="dxa"/>
          </w:tcPr>
          <w:p w14:paraId="57D70415" w14:textId="357BCEFB" w:rsidR="00851828" w:rsidRPr="0004337F" w:rsidRDefault="009F6E46" w:rsidP="00980BC7">
            <w:pPr>
              <w:rPr>
                <w:rFonts w:ascii="Arial" w:hAnsi="Arial" w:cs="Arial"/>
              </w:rPr>
            </w:pPr>
            <w:r w:rsidRPr="0004337F">
              <w:rPr>
                <w:rFonts w:ascii="Arial" w:hAnsi="Arial" w:cs="Arial"/>
              </w:rPr>
              <w:t>Dnem dokončení fáze 1 a její akceptaci objednatelem.</w:t>
            </w:r>
          </w:p>
        </w:tc>
        <w:tc>
          <w:tcPr>
            <w:tcW w:w="2404" w:type="dxa"/>
          </w:tcPr>
          <w:p w14:paraId="6EC4836D" w14:textId="54A3A461" w:rsidR="00851828" w:rsidRPr="0004337F" w:rsidRDefault="009F6E46" w:rsidP="00980BC7">
            <w:pPr>
              <w:rPr>
                <w:rFonts w:ascii="Arial" w:hAnsi="Arial" w:cs="Arial"/>
              </w:rPr>
            </w:pPr>
            <w:r w:rsidRPr="0004337F">
              <w:rPr>
                <w:rFonts w:ascii="Arial" w:hAnsi="Arial" w:cs="Arial"/>
              </w:rPr>
              <w:t xml:space="preserve">Do </w:t>
            </w:r>
            <w:r w:rsidR="00851828" w:rsidRPr="0004337F">
              <w:rPr>
                <w:rFonts w:ascii="Arial" w:hAnsi="Arial" w:cs="Arial"/>
              </w:rPr>
              <w:t>8 měsíců</w:t>
            </w:r>
            <w:r w:rsidRPr="0004337F">
              <w:rPr>
                <w:rFonts w:ascii="Arial" w:hAnsi="Arial" w:cs="Arial"/>
              </w:rPr>
              <w:t>,</w:t>
            </w:r>
            <w:r w:rsidR="00851828" w:rsidRPr="0004337F">
              <w:rPr>
                <w:rFonts w:ascii="Arial" w:hAnsi="Arial" w:cs="Arial"/>
              </w:rPr>
              <w:t xml:space="preserve"> nejpozději však 30.06.2022</w:t>
            </w:r>
            <w:r w:rsidR="007C2F9B">
              <w:rPr>
                <w:rFonts w:ascii="Arial" w:hAnsi="Arial" w:cs="Arial"/>
              </w:rPr>
              <w:t>.</w:t>
            </w:r>
          </w:p>
        </w:tc>
      </w:tr>
      <w:tr w:rsidR="00980BC7" w:rsidRPr="0004337F" w14:paraId="2EC7C2FC" w14:textId="77777777" w:rsidTr="009F6E46">
        <w:tc>
          <w:tcPr>
            <w:tcW w:w="4673" w:type="dxa"/>
          </w:tcPr>
          <w:p w14:paraId="2268CDDA" w14:textId="2197C060" w:rsidR="00980BC7" w:rsidRPr="0004337F" w:rsidRDefault="00980BC7" w:rsidP="00980BC7">
            <w:pPr>
              <w:rPr>
                <w:rFonts w:ascii="Arial" w:hAnsi="Arial" w:cs="Arial"/>
              </w:rPr>
            </w:pPr>
            <w:r w:rsidRPr="0004337F">
              <w:rPr>
                <w:rFonts w:ascii="Arial" w:hAnsi="Arial" w:cs="Arial"/>
                <w:b/>
                <w:bCs/>
              </w:rPr>
              <w:t>Fáze 3</w:t>
            </w:r>
            <w:r w:rsidRPr="0004337F">
              <w:rPr>
                <w:rFonts w:ascii="Arial" w:hAnsi="Arial" w:cs="Arial"/>
              </w:rPr>
              <w:t xml:space="preserve"> (provozní)</w:t>
            </w:r>
            <w:r w:rsidR="00851828" w:rsidRPr="0004337F">
              <w:rPr>
                <w:rFonts w:ascii="Arial" w:hAnsi="Arial" w:cs="Arial"/>
              </w:rPr>
              <w:t xml:space="preserve"> </w:t>
            </w:r>
            <w:r w:rsidR="00A1589A" w:rsidRPr="0004337F">
              <w:rPr>
                <w:rFonts w:ascii="Arial" w:hAnsi="Arial" w:cs="Arial"/>
                <w:b/>
                <w:bCs/>
              </w:rPr>
              <w:t>etapa</w:t>
            </w:r>
            <w:r w:rsidR="00851828" w:rsidRPr="0004337F">
              <w:rPr>
                <w:rFonts w:ascii="Arial" w:hAnsi="Arial" w:cs="Arial"/>
                <w:b/>
                <w:bCs/>
              </w:rPr>
              <w:t xml:space="preserve"> A</w:t>
            </w:r>
          </w:p>
        </w:tc>
        <w:tc>
          <w:tcPr>
            <w:tcW w:w="1985" w:type="dxa"/>
          </w:tcPr>
          <w:p w14:paraId="29ADDA5F" w14:textId="17486F13" w:rsidR="00980BC7" w:rsidRPr="0004337F" w:rsidRDefault="00851828" w:rsidP="00980BC7">
            <w:pPr>
              <w:rPr>
                <w:rFonts w:ascii="Arial" w:hAnsi="Arial" w:cs="Arial"/>
              </w:rPr>
            </w:pPr>
            <w:r w:rsidRPr="0004337F">
              <w:rPr>
                <w:rFonts w:ascii="Arial" w:hAnsi="Arial" w:cs="Arial"/>
              </w:rPr>
              <w:t>01.01.2022</w:t>
            </w:r>
          </w:p>
        </w:tc>
        <w:tc>
          <w:tcPr>
            <w:tcW w:w="2404" w:type="dxa"/>
          </w:tcPr>
          <w:p w14:paraId="0D9F2E81" w14:textId="29FBE6CE" w:rsidR="00980BC7" w:rsidRPr="0004337F" w:rsidRDefault="007C2F9B" w:rsidP="00980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46CC0" w:rsidRPr="0004337F">
              <w:rPr>
                <w:rFonts w:ascii="Arial" w:hAnsi="Arial" w:cs="Arial"/>
              </w:rPr>
              <w:t>o dobu neurčitou od akceptace Fáze 2 část A</w:t>
            </w:r>
            <w:r>
              <w:rPr>
                <w:rFonts w:ascii="Arial" w:hAnsi="Arial" w:cs="Arial"/>
              </w:rPr>
              <w:t>.</w:t>
            </w:r>
          </w:p>
        </w:tc>
      </w:tr>
      <w:tr w:rsidR="00980BC7" w:rsidRPr="0004337F" w14:paraId="684FDDC0" w14:textId="77777777" w:rsidTr="009F6E46">
        <w:tc>
          <w:tcPr>
            <w:tcW w:w="4673" w:type="dxa"/>
          </w:tcPr>
          <w:p w14:paraId="40901942" w14:textId="6330048D" w:rsidR="00980BC7" w:rsidRPr="0004337F" w:rsidRDefault="00851828" w:rsidP="00980BC7">
            <w:pPr>
              <w:rPr>
                <w:rFonts w:ascii="Arial" w:hAnsi="Arial" w:cs="Arial"/>
              </w:rPr>
            </w:pPr>
            <w:r w:rsidRPr="0004337F">
              <w:rPr>
                <w:rFonts w:ascii="Arial" w:hAnsi="Arial" w:cs="Arial"/>
                <w:b/>
                <w:bCs/>
              </w:rPr>
              <w:t>Fáze 3</w:t>
            </w:r>
            <w:r w:rsidRPr="0004337F">
              <w:rPr>
                <w:rFonts w:ascii="Arial" w:hAnsi="Arial" w:cs="Arial"/>
              </w:rPr>
              <w:t xml:space="preserve"> (provozní) </w:t>
            </w:r>
            <w:r w:rsidR="00A1589A" w:rsidRPr="0004337F">
              <w:rPr>
                <w:rFonts w:ascii="Arial" w:hAnsi="Arial" w:cs="Arial"/>
                <w:b/>
                <w:bCs/>
              </w:rPr>
              <w:t xml:space="preserve">etapa </w:t>
            </w:r>
            <w:r w:rsidRPr="000433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985" w:type="dxa"/>
          </w:tcPr>
          <w:p w14:paraId="7325DF67" w14:textId="54831992" w:rsidR="00980BC7" w:rsidRPr="0004337F" w:rsidRDefault="00851828" w:rsidP="00980BC7">
            <w:pPr>
              <w:rPr>
                <w:rFonts w:ascii="Arial" w:hAnsi="Arial" w:cs="Arial"/>
              </w:rPr>
            </w:pPr>
            <w:r w:rsidRPr="0004337F">
              <w:rPr>
                <w:rFonts w:ascii="Arial" w:hAnsi="Arial" w:cs="Arial"/>
              </w:rPr>
              <w:t>01.07.2022</w:t>
            </w:r>
          </w:p>
        </w:tc>
        <w:tc>
          <w:tcPr>
            <w:tcW w:w="2404" w:type="dxa"/>
          </w:tcPr>
          <w:p w14:paraId="0EF857E0" w14:textId="27320ABF" w:rsidR="00980BC7" w:rsidRPr="0004337F" w:rsidRDefault="007C2F9B" w:rsidP="00980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46CC0" w:rsidRPr="0004337F">
              <w:rPr>
                <w:rFonts w:ascii="Arial" w:hAnsi="Arial" w:cs="Arial"/>
              </w:rPr>
              <w:t>o dobu neurčitou od akceptace Fáze 2 část B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8AF7421" w14:textId="72BE71F8" w:rsidR="00730504" w:rsidRDefault="00980BC7" w:rsidP="00980BC7">
      <w:r>
        <w:t> </w:t>
      </w:r>
    </w:p>
    <w:sectPr w:rsidR="007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C7"/>
    <w:rsid w:val="0004337F"/>
    <w:rsid w:val="000D3B9C"/>
    <w:rsid w:val="004C0068"/>
    <w:rsid w:val="00730504"/>
    <w:rsid w:val="007C2F9B"/>
    <w:rsid w:val="00851828"/>
    <w:rsid w:val="00980BC7"/>
    <w:rsid w:val="009F6E46"/>
    <w:rsid w:val="00A1589A"/>
    <w:rsid w:val="00A46CC0"/>
    <w:rsid w:val="00DC3B3A"/>
    <w:rsid w:val="00F1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8DF5"/>
  <w15:chartTrackingRefBased/>
  <w15:docId w15:val="{DFA9A4DE-9890-48AE-BBC0-5D0C006C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E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Mojmír Prudil</dc:creator>
  <cp:keywords/>
  <dc:description/>
  <cp:lastModifiedBy>Alena Seibertová</cp:lastModifiedBy>
  <cp:revision>2</cp:revision>
  <cp:lastPrinted>2021-05-26T06:53:00Z</cp:lastPrinted>
  <dcterms:created xsi:type="dcterms:W3CDTF">2021-06-23T11:34:00Z</dcterms:created>
  <dcterms:modified xsi:type="dcterms:W3CDTF">2021-06-23T11:34:00Z</dcterms:modified>
</cp:coreProperties>
</file>